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AF" w:rsidRDefault="000440C8" w:rsidP="006023AF">
      <w:pPr>
        <w:spacing w:after="0" w:line="600" w:lineRule="atLeast"/>
        <w:jc w:val="center"/>
        <w:outlineLvl w:val="0"/>
        <w:rPr>
          <w:rFonts w:ascii="Times New Roman" w:eastAsia="Times New Roman" w:hAnsi="Times New Roman" w:cs="Times New Roman"/>
          <w:b/>
          <w:bCs/>
          <w:color w:val="000000"/>
          <w:kern w:val="36"/>
          <w:sz w:val="32"/>
          <w:szCs w:val="32"/>
          <w:lang w:eastAsia="uk-UA"/>
        </w:rPr>
      </w:pPr>
      <w:proofErr w:type="spellStart"/>
      <w:r w:rsidRPr="000440C8">
        <w:rPr>
          <w:rFonts w:ascii="Times New Roman" w:eastAsia="Times New Roman" w:hAnsi="Times New Roman" w:cs="Times New Roman"/>
          <w:b/>
          <w:bCs/>
          <w:color w:val="000000"/>
          <w:kern w:val="36"/>
          <w:sz w:val="32"/>
          <w:szCs w:val="32"/>
          <w:lang w:eastAsia="uk-UA"/>
        </w:rPr>
        <w:t>Біобезпека</w:t>
      </w:r>
      <w:proofErr w:type="spellEnd"/>
      <w:r w:rsidRPr="000440C8">
        <w:rPr>
          <w:rFonts w:ascii="Times New Roman" w:eastAsia="Times New Roman" w:hAnsi="Times New Roman" w:cs="Times New Roman"/>
          <w:b/>
          <w:bCs/>
          <w:color w:val="000000"/>
          <w:kern w:val="36"/>
          <w:sz w:val="32"/>
          <w:szCs w:val="32"/>
          <w:lang w:eastAsia="uk-UA"/>
        </w:rPr>
        <w:t xml:space="preserve"> для мисливських господарств</w:t>
      </w:r>
      <w:r w:rsidR="006023AF">
        <w:rPr>
          <w:rFonts w:ascii="Times New Roman" w:eastAsia="Times New Roman" w:hAnsi="Times New Roman" w:cs="Times New Roman"/>
          <w:b/>
          <w:bCs/>
          <w:color w:val="000000"/>
          <w:kern w:val="36"/>
          <w:sz w:val="32"/>
          <w:szCs w:val="32"/>
          <w:lang w:eastAsia="uk-UA"/>
        </w:rPr>
        <w:t xml:space="preserve"> </w:t>
      </w:r>
    </w:p>
    <w:p w:rsidR="000440C8" w:rsidRPr="000440C8" w:rsidRDefault="006023AF" w:rsidP="006023AF">
      <w:pPr>
        <w:spacing w:after="0" w:line="600" w:lineRule="atLeast"/>
        <w:jc w:val="center"/>
        <w:outlineLvl w:val="0"/>
        <w:rPr>
          <w:rFonts w:ascii="Times New Roman" w:eastAsia="Times New Roman" w:hAnsi="Times New Roman" w:cs="Times New Roman"/>
          <w:color w:val="18191F"/>
          <w:sz w:val="28"/>
          <w:szCs w:val="28"/>
          <w:bdr w:val="none" w:sz="0" w:space="0" w:color="auto" w:frame="1"/>
          <w:lang w:eastAsia="uk-UA"/>
        </w:rPr>
      </w:pPr>
      <w:hyperlink r:id="rId4" w:history="1">
        <w:r w:rsidRPr="00B077B3">
          <w:rPr>
            <w:rStyle w:val="a5"/>
            <w:rFonts w:ascii="Times New Roman" w:eastAsia="Times New Roman" w:hAnsi="Times New Roman"/>
            <w:sz w:val="28"/>
            <w:szCs w:val="28"/>
            <w:lang w:eastAsia="uk-UA"/>
          </w:rPr>
          <w:t>http://bit.ly/3M3DhEd</w:t>
        </w:r>
      </w:hyperlink>
      <w:r>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 </w:t>
      </w:r>
      <w:r w:rsidR="000440C8" w:rsidRPr="000440C8">
        <w:rPr>
          <w:rFonts w:ascii="Times New Roman" w:eastAsia="Times New Roman" w:hAnsi="Times New Roman" w:cs="Times New Roman"/>
          <w:sz w:val="28"/>
          <w:szCs w:val="28"/>
          <w:lang w:eastAsia="uk-UA"/>
        </w:rPr>
        <w:fldChar w:fldCharType="begin"/>
      </w:r>
      <w:r w:rsidR="000440C8" w:rsidRPr="000440C8">
        <w:rPr>
          <w:rFonts w:ascii="Times New Roman" w:eastAsia="Times New Roman" w:hAnsi="Times New Roman" w:cs="Times New Roman"/>
          <w:sz w:val="28"/>
          <w:szCs w:val="28"/>
          <w:lang w:eastAsia="uk-UA"/>
        </w:rPr>
        <w:instrText xml:space="preserve"> HYPERLINK "https://courses.agriacademy.org/courses/course-v1%3AFAO%2BBiosecurityHG%2B2025Q4/about?fbclid=IwdGRzaAPpMA5jbGNrA-kvr2V4dG4DYWVtAjExAHNydGMGYXBwX2lkDDM1MDY4NTUzMTcyOAABHroT389ZEOiNLkS8rV3P8U7CZW67iVuRCDDmMR0I4i5dHh5DHmnGlIwseilf_aem_762AcrYP0yu8Vdytjzdv1Q&amp;sfnsn=wa" \l "video-modal" </w:instrText>
      </w:r>
      <w:r w:rsidR="000440C8" w:rsidRPr="000440C8">
        <w:rPr>
          <w:rFonts w:ascii="Times New Roman" w:eastAsia="Times New Roman" w:hAnsi="Times New Roman" w:cs="Times New Roman"/>
          <w:sz w:val="28"/>
          <w:szCs w:val="28"/>
          <w:lang w:eastAsia="uk-UA"/>
        </w:rPr>
        <w:fldChar w:fldCharType="separate"/>
      </w:r>
    </w:p>
    <w:p w:rsidR="000440C8" w:rsidRPr="000440C8" w:rsidRDefault="000440C8" w:rsidP="006023AF">
      <w:pPr>
        <w:spacing w:after="0" w:line="240" w:lineRule="auto"/>
        <w:jc w:val="both"/>
        <w:rPr>
          <w:rFonts w:ascii="Times New Roman" w:eastAsia="Times New Roman" w:hAnsi="Times New Roman" w:cs="Times New Roman"/>
          <w:sz w:val="28"/>
          <w:szCs w:val="28"/>
          <w:lang w:eastAsia="uk-UA"/>
        </w:rPr>
      </w:pPr>
      <w:r w:rsidRPr="000440C8">
        <w:rPr>
          <w:rFonts w:ascii="Times New Roman" w:eastAsia="Times New Roman" w:hAnsi="Times New Roman" w:cs="Times New Roman"/>
          <w:noProof/>
          <w:color w:val="18191F"/>
          <w:sz w:val="28"/>
          <w:szCs w:val="28"/>
          <w:bdr w:val="none" w:sz="0" w:space="0" w:color="auto" w:frame="1"/>
          <w:lang w:eastAsia="uk-UA"/>
        </w:rPr>
        <w:drawing>
          <wp:inline distT="0" distB="0" distL="0" distR="0" wp14:anchorId="01D5D13D" wp14:editId="62BFF44B">
            <wp:extent cx="4848225" cy="2726608"/>
            <wp:effectExtent l="0" t="0" r="0" b="0"/>
            <wp:docPr id="1" name="Рисунок 1" descr="https://courses.agriacademy.org/asset-v1:FAO+BiosecurityHG+2025Q4+type@asset+block@10_biobezpeka_size0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rses.agriacademy.org/asset-v1:FAO+BiosecurityHG+2025Q4+type@asset+block@10_biobezpeka_size0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9669" cy="2749916"/>
                    </a:xfrm>
                    <a:prstGeom prst="rect">
                      <a:avLst/>
                    </a:prstGeom>
                    <a:noFill/>
                    <a:ln>
                      <a:noFill/>
                    </a:ln>
                  </pic:spPr>
                </pic:pic>
              </a:graphicData>
            </a:graphic>
          </wp:inline>
        </w:drawing>
      </w:r>
    </w:p>
    <w:p w:rsidR="000440C8" w:rsidRPr="000440C8" w:rsidRDefault="000440C8" w:rsidP="000440C8">
      <w:pPr>
        <w:spacing w:after="0" w:line="240" w:lineRule="auto"/>
        <w:jc w:val="both"/>
        <w:rPr>
          <w:rFonts w:ascii="Times New Roman" w:eastAsia="Times New Roman" w:hAnsi="Times New Roman" w:cs="Times New Roman"/>
          <w:sz w:val="28"/>
          <w:szCs w:val="28"/>
          <w:lang w:eastAsia="uk-UA"/>
        </w:rPr>
      </w:pPr>
      <w:r w:rsidRPr="000440C8">
        <w:rPr>
          <w:rFonts w:ascii="Times New Roman" w:eastAsia="Times New Roman" w:hAnsi="Times New Roman" w:cs="Times New Roman"/>
          <w:sz w:val="28"/>
          <w:szCs w:val="28"/>
          <w:lang w:eastAsia="uk-UA"/>
        </w:rPr>
        <w:fldChar w:fldCharType="end"/>
      </w:r>
    </w:p>
    <w:p w:rsidR="000440C8" w:rsidRPr="000440C8" w:rsidRDefault="000440C8" w:rsidP="000440C8">
      <w:pPr>
        <w:shd w:val="clear" w:color="auto" w:fill="FBFBFB"/>
        <w:spacing w:after="0" w:line="300" w:lineRule="atLeast"/>
        <w:jc w:val="both"/>
        <w:outlineLvl w:val="1"/>
        <w:rPr>
          <w:rFonts w:ascii="Times New Roman" w:eastAsia="Times New Roman" w:hAnsi="Times New Roman" w:cs="Times New Roman"/>
          <w:b/>
          <w:bCs/>
          <w:caps/>
          <w:color w:val="000000"/>
          <w:sz w:val="28"/>
          <w:szCs w:val="28"/>
          <w:lang w:eastAsia="uk-UA"/>
        </w:rPr>
      </w:pPr>
      <w:r w:rsidRPr="000440C8">
        <w:rPr>
          <w:rFonts w:ascii="Times New Roman" w:eastAsia="Times New Roman" w:hAnsi="Times New Roman" w:cs="Times New Roman"/>
          <w:b/>
          <w:bCs/>
          <w:caps/>
          <w:color w:val="000000"/>
          <w:sz w:val="28"/>
          <w:szCs w:val="28"/>
          <w:lang w:eastAsia="uk-UA"/>
        </w:rPr>
        <w:t>ПРО КУРС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У рамках курсу розглядається питання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 xml:space="preserve"> для мисливських господарств України на прикладі африканської чуми свиней.</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Африканська чума свиней (АЧС)</w:t>
      </w:r>
      <w:r w:rsidRPr="000440C8">
        <w:rPr>
          <w:rFonts w:ascii="Times New Roman" w:eastAsia="Times New Roman" w:hAnsi="Times New Roman" w:cs="Times New Roman"/>
          <w:color w:val="18191F"/>
          <w:sz w:val="28"/>
          <w:szCs w:val="28"/>
          <w:lang w:eastAsia="uk-UA"/>
        </w:rPr>
        <w:t> — це важке захворювання, що вражає свиней, спричиняючи значні економічні збитки та загрожуючи продовольчій безпеці. Стійкість АЧС серед дикої фауни підкреслює критичну необхідність ефективних заходів для запобігання її поширенню та захисту популяцій свійських свиней.</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Міжнародний досвід показує, що боротьба з АЧС у диких кабанів вимагає логічної послідовності дій:</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1. Зупинити епідемічну хвилю, щоб запобігти подальшому поширенню вірусу.</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2. Сприяння природній летальності вірусу, що дозволяє епідемії різко зменшити щільність інфікованої популяції.</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3. Зменшення залишкової популяції, коли вірус вже спричинив її колапс, щоб запобігти швидкому відновленню.</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Щоб вирішити ці проблеми, навчальний курс з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 xml:space="preserve"> </w:t>
      </w:r>
      <w:proofErr w:type="spellStart"/>
      <w:r w:rsidRPr="000440C8">
        <w:rPr>
          <w:rFonts w:ascii="Times New Roman" w:eastAsia="Times New Roman" w:hAnsi="Times New Roman" w:cs="Times New Roman"/>
          <w:color w:val="18191F"/>
          <w:sz w:val="28"/>
          <w:szCs w:val="28"/>
          <w:lang w:eastAsia="uk-UA"/>
        </w:rPr>
        <w:t>надасть</w:t>
      </w:r>
      <w:proofErr w:type="spellEnd"/>
      <w:r w:rsidRPr="000440C8">
        <w:rPr>
          <w:rFonts w:ascii="Times New Roman" w:eastAsia="Times New Roman" w:hAnsi="Times New Roman" w:cs="Times New Roman"/>
          <w:color w:val="18191F"/>
          <w:sz w:val="28"/>
          <w:szCs w:val="28"/>
          <w:lang w:eastAsia="uk-UA"/>
        </w:rPr>
        <w:t xml:space="preserve"> користувачам мисливських угідь, працівникам лісової та мисливської галузей, ветеринарній службі необхідні знання та практичні інструменти для покращення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Це інтерактивне навчання сприяє впровадженню найкращ</w:t>
      </w:r>
      <w:bookmarkStart w:id="0" w:name="_GoBack"/>
      <w:bookmarkEnd w:id="0"/>
      <w:r w:rsidRPr="000440C8">
        <w:rPr>
          <w:rFonts w:ascii="Times New Roman" w:eastAsia="Times New Roman" w:hAnsi="Times New Roman" w:cs="Times New Roman"/>
          <w:color w:val="18191F"/>
          <w:sz w:val="28"/>
          <w:szCs w:val="28"/>
          <w:lang w:eastAsia="uk-UA"/>
        </w:rPr>
        <w:t>их практик з нагляду та контролю АЧС, забезпечуючи узгоджену та ефективну реакцію на захворювання.</w:t>
      </w:r>
    </w:p>
    <w:p w:rsidR="006023AF"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Завершивши цей курс, учасники будуть краще підготовлені до зменшення впливу АЧС та сприятимуть сталому управлінню захворюванням в Україні.</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lastRenderedPageBreak/>
        <w:t>По завершенню цього електронного курсу учасники зможуть:</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 Застосовувати заходи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 xml:space="preserve"> для запобігання поширенню АЧС, забезпечуючи обізнаність громади та дотримання вимог з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Розробляти стратегії ліквідації хвороби;</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 Визначати ризики поширення АЧС та проводити заходи з утилізацією туш тварин із дотриманням вимог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 Ефективно </w:t>
      </w:r>
      <w:proofErr w:type="spellStart"/>
      <w:r w:rsidRPr="000440C8">
        <w:rPr>
          <w:rFonts w:ascii="Times New Roman" w:eastAsia="Times New Roman" w:hAnsi="Times New Roman" w:cs="Times New Roman"/>
          <w:color w:val="18191F"/>
          <w:sz w:val="28"/>
          <w:szCs w:val="28"/>
          <w:lang w:eastAsia="uk-UA"/>
        </w:rPr>
        <w:t>комунікувати</w:t>
      </w:r>
      <w:proofErr w:type="spellEnd"/>
      <w:r w:rsidRPr="000440C8">
        <w:rPr>
          <w:rFonts w:ascii="Times New Roman" w:eastAsia="Times New Roman" w:hAnsi="Times New Roman" w:cs="Times New Roman"/>
          <w:color w:val="18191F"/>
          <w:sz w:val="28"/>
          <w:szCs w:val="28"/>
          <w:lang w:eastAsia="uk-UA"/>
        </w:rPr>
        <w:t>, підвищувати обізнаність та сприяти співпраці між мисливцями, ветеринарами та місцевими громадами у запобіганні АЧС.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Навчальний курс містить відео, текстові матеріали та практичні інструменти для ефективного навчання та застосування знань щодня. Реальні кейси та найкращі практики будуть розглядатись протягом модулів, а навчання завершиться фінальним тестом для отримання сертифіката.</w:t>
      </w:r>
    </w:p>
    <w:p w:rsidR="000440C8" w:rsidRPr="000440C8" w:rsidRDefault="000440C8" w:rsidP="00EF08D5">
      <w:pPr>
        <w:shd w:val="clear" w:color="auto" w:fill="FBFBFB"/>
        <w:spacing w:after="0" w:line="300" w:lineRule="atLeast"/>
        <w:ind w:firstLine="284"/>
        <w:jc w:val="both"/>
        <w:outlineLvl w:val="1"/>
        <w:rPr>
          <w:rFonts w:ascii="Times New Roman" w:eastAsia="Times New Roman" w:hAnsi="Times New Roman" w:cs="Times New Roman"/>
          <w:b/>
          <w:bCs/>
          <w:caps/>
          <w:color w:val="000000"/>
          <w:sz w:val="28"/>
          <w:szCs w:val="28"/>
          <w:lang w:eastAsia="uk-UA"/>
        </w:rPr>
      </w:pPr>
      <w:r w:rsidRPr="000440C8">
        <w:rPr>
          <w:rFonts w:ascii="Times New Roman" w:eastAsia="Times New Roman" w:hAnsi="Times New Roman" w:cs="Times New Roman"/>
          <w:b/>
          <w:bCs/>
          <w:caps/>
          <w:color w:val="000000"/>
          <w:sz w:val="28"/>
          <w:szCs w:val="28"/>
          <w:lang w:eastAsia="uk-UA"/>
        </w:rPr>
        <w:t>ПРОГРАМА КУРСУ</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1. Епізоотологія вірусу африканської чуми свиней в дикого кабана</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1. Вірус АЧС та його стійкість до умов навколишнього середовища</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2. Епідеміологічні цикли в дикого кабана</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3. Шляхи передачі вірусу АЧС в популяціях диких кабанів</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4. Розвиток АЧС в популяції дикого кабана</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5. Географічне поширення вірусу АЧС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2. Нагляд та заходи з контролю АЧС. Стратегії стримування та ліквідації захворювання</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1. Система раннього виявлення вірусу АЧС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2. Заходи стримування та викорінення АЧС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3. Прибирання та утилізація знайдених туш дикого кабана</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 xml:space="preserve">Модуль 4. </w:t>
      </w:r>
      <w:proofErr w:type="spellStart"/>
      <w:r w:rsidRPr="000440C8">
        <w:rPr>
          <w:rFonts w:ascii="Times New Roman" w:eastAsia="Times New Roman" w:hAnsi="Times New Roman" w:cs="Times New Roman"/>
          <w:b/>
          <w:bCs/>
          <w:color w:val="18191F"/>
          <w:sz w:val="28"/>
          <w:szCs w:val="28"/>
          <w:lang w:eastAsia="uk-UA"/>
        </w:rPr>
        <w:t>Біобезпека</w:t>
      </w:r>
      <w:proofErr w:type="spellEnd"/>
      <w:r w:rsidRPr="000440C8">
        <w:rPr>
          <w:rFonts w:ascii="Times New Roman" w:eastAsia="Times New Roman" w:hAnsi="Times New Roman" w:cs="Times New Roman"/>
          <w:b/>
          <w:bCs/>
          <w:color w:val="18191F"/>
          <w:sz w:val="28"/>
          <w:szCs w:val="28"/>
          <w:lang w:eastAsia="uk-UA"/>
        </w:rPr>
        <w:t xml:space="preserve"> для мисливських господарств</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Презентація 1. План </w:t>
      </w:r>
      <w:proofErr w:type="spellStart"/>
      <w:r w:rsidRPr="000440C8">
        <w:rPr>
          <w:rFonts w:ascii="Times New Roman" w:eastAsia="Times New Roman" w:hAnsi="Times New Roman" w:cs="Times New Roman"/>
          <w:color w:val="18191F"/>
          <w:sz w:val="28"/>
          <w:szCs w:val="28"/>
          <w:lang w:eastAsia="uk-UA"/>
        </w:rPr>
        <w:t>біобезпеки</w:t>
      </w:r>
      <w:proofErr w:type="spellEnd"/>
      <w:r w:rsidRPr="000440C8">
        <w:rPr>
          <w:rFonts w:ascii="Times New Roman" w:eastAsia="Times New Roman" w:hAnsi="Times New Roman" w:cs="Times New Roman"/>
          <w:color w:val="18191F"/>
          <w:sz w:val="28"/>
          <w:szCs w:val="28"/>
          <w:lang w:eastAsia="uk-UA"/>
        </w:rPr>
        <w:t xml:space="preserve"> для мисливських господарств</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Презентація 2. Дозволені методи полювання та </w:t>
      </w:r>
      <w:proofErr w:type="spellStart"/>
      <w:r w:rsidRPr="000440C8">
        <w:rPr>
          <w:rFonts w:ascii="Times New Roman" w:eastAsia="Times New Roman" w:hAnsi="Times New Roman" w:cs="Times New Roman"/>
          <w:color w:val="18191F"/>
          <w:sz w:val="28"/>
          <w:szCs w:val="28"/>
          <w:lang w:eastAsia="uk-UA"/>
        </w:rPr>
        <w:t>біотехнія</w:t>
      </w:r>
      <w:proofErr w:type="spellEnd"/>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3. Методи транспортування добутих тварин</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4. Дезінфекція інвентарю, транспорту, взуття та мисливських собак</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Презентація 5. Навчання мисливців</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 xml:space="preserve">Модуль 5. </w:t>
      </w:r>
      <w:proofErr w:type="spellStart"/>
      <w:r w:rsidRPr="000440C8">
        <w:rPr>
          <w:rFonts w:ascii="Times New Roman" w:eastAsia="Times New Roman" w:hAnsi="Times New Roman" w:cs="Times New Roman"/>
          <w:b/>
          <w:bCs/>
          <w:color w:val="18191F"/>
          <w:sz w:val="28"/>
          <w:szCs w:val="28"/>
          <w:lang w:eastAsia="uk-UA"/>
        </w:rPr>
        <w:t>Біобезпека</w:t>
      </w:r>
      <w:proofErr w:type="spellEnd"/>
      <w:r w:rsidRPr="000440C8">
        <w:rPr>
          <w:rFonts w:ascii="Times New Roman" w:eastAsia="Times New Roman" w:hAnsi="Times New Roman" w:cs="Times New Roman"/>
          <w:b/>
          <w:bCs/>
          <w:color w:val="18191F"/>
          <w:sz w:val="28"/>
          <w:szCs w:val="28"/>
          <w:lang w:eastAsia="uk-UA"/>
        </w:rPr>
        <w:t xml:space="preserve"> під час розбирання дичини</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6. Заходи з утилізації туш та дезінфекція приміщень</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7. Відновлення роботи мисливського господарства після спалаху АЧС</w:t>
      </w:r>
    </w:p>
    <w:p w:rsidR="000440C8" w:rsidRPr="000440C8" w:rsidRDefault="000440C8" w:rsidP="00EF08D5">
      <w:pPr>
        <w:shd w:val="clear" w:color="auto" w:fill="FBFBFB"/>
        <w:spacing w:after="0" w:line="384" w:lineRule="atLeast"/>
        <w:ind w:firstLine="284"/>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b/>
          <w:bCs/>
          <w:color w:val="18191F"/>
          <w:sz w:val="28"/>
          <w:szCs w:val="28"/>
          <w:lang w:eastAsia="uk-UA"/>
        </w:rPr>
        <w:t>Модуль 8. Ризики подальшого поширення АЧС в інфікованих лісах</w:t>
      </w:r>
    </w:p>
    <w:p w:rsidR="00D66280" w:rsidRPr="00D66280" w:rsidRDefault="00D66280" w:rsidP="000440C8">
      <w:pPr>
        <w:shd w:val="clear" w:color="auto" w:fill="FBFBFB"/>
        <w:spacing w:after="0" w:line="300" w:lineRule="atLeast"/>
        <w:jc w:val="both"/>
        <w:outlineLvl w:val="1"/>
        <w:rPr>
          <w:rFonts w:ascii="Times New Roman" w:eastAsia="Times New Roman" w:hAnsi="Times New Roman" w:cs="Times New Roman"/>
          <w:b/>
          <w:bCs/>
          <w:caps/>
          <w:color w:val="000000"/>
          <w:sz w:val="16"/>
          <w:szCs w:val="16"/>
          <w:lang w:eastAsia="uk-UA"/>
        </w:rPr>
      </w:pPr>
    </w:p>
    <w:p w:rsidR="000440C8" w:rsidRPr="000440C8" w:rsidRDefault="000440C8" w:rsidP="000440C8">
      <w:pPr>
        <w:shd w:val="clear" w:color="auto" w:fill="FBFBFB"/>
        <w:spacing w:after="0" w:line="300" w:lineRule="atLeast"/>
        <w:jc w:val="both"/>
        <w:outlineLvl w:val="1"/>
        <w:rPr>
          <w:rFonts w:ascii="Times New Roman" w:eastAsia="Times New Roman" w:hAnsi="Times New Roman" w:cs="Times New Roman"/>
          <w:b/>
          <w:bCs/>
          <w:color w:val="313131"/>
          <w:sz w:val="28"/>
          <w:szCs w:val="28"/>
          <w:lang w:eastAsia="uk-UA"/>
        </w:rPr>
      </w:pPr>
      <w:r w:rsidRPr="000440C8">
        <w:rPr>
          <w:rFonts w:ascii="Times New Roman" w:eastAsia="Times New Roman" w:hAnsi="Times New Roman" w:cs="Times New Roman"/>
          <w:b/>
          <w:bCs/>
          <w:caps/>
          <w:color w:val="000000"/>
          <w:sz w:val="28"/>
          <w:szCs w:val="28"/>
          <w:lang w:eastAsia="uk-UA"/>
        </w:rPr>
        <w:t>Автор та лектор курсу:</w:t>
      </w:r>
      <w:r w:rsidR="00D66280">
        <w:rPr>
          <w:rFonts w:ascii="Times New Roman" w:eastAsia="Times New Roman" w:hAnsi="Times New Roman" w:cs="Times New Roman"/>
          <w:b/>
          <w:bCs/>
          <w:caps/>
          <w:color w:val="000000"/>
          <w:sz w:val="28"/>
          <w:szCs w:val="28"/>
          <w:lang w:eastAsia="uk-UA"/>
        </w:rPr>
        <w:tab/>
      </w:r>
      <w:r w:rsidR="00D66280">
        <w:rPr>
          <w:rFonts w:ascii="Times New Roman" w:eastAsia="Times New Roman" w:hAnsi="Times New Roman" w:cs="Times New Roman"/>
          <w:b/>
          <w:bCs/>
          <w:caps/>
          <w:color w:val="000000"/>
          <w:sz w:val="28"/>
          <w:szCs w:val="28"/>
          <w:lang w:eastAsia="uk-UA"/>
        </w:rPr>
        <w:tab/>
      </w:r>
      <w:r w:rsidR="00D66280">
        <w:rPr>
          <w:rFonts w:ascii="Times New Roman" w:eastAsia="Times New Roman" w:hAnsi="Times New Roman" w:cs="Times New Roman"/>
          <w:b/>
          <w:bCs/>
          <w:caps/>
          <w:color w:val="000000"/>
          <w:sz w:val="28"/>
          <w:szCs w:val="28"/>
          <w:lang w:eastAsia="uk-UA"/>
        </w:rPr>
        <w:tab/>
      </w:r>
      <w:r w:rsidR="00D66280">
        <w:rPr>
          <w:rFonts w:ascii="Times New Roman" w:eastAsia="Times New Roman" w:hAnsi="Times New Roman" w:cs="Times New Roman"/>
          <w:b/>
          <w:bCs/>
          <w:caps/>
          <w:color w:val="000000"/>
          <w:sz w:val="28"/>
          <w:szCs w:val="28"/>
          <w:lang w:eastAsia="uk-UA"/>
        </w:rPr>
        <w:tab/>
      </w:r>
      <w:r w:rsidRPr="000440C8">
        <w:rPr>
          <w:rFonts w:ascii="Times New Roman" w:eastAsia="Times New Roman" w:hAnsi="Times New Roman" w:cs="Times New Roman"/>
          <w:b/>
          <w:bCs/>
          <w:color w:val="313131"/>
          <w:sz w:val="28"/>
          <w:szCs w:val="28"/>
          <w:lang w:eastAsia="uk-UA"/>
        </w:rPr>
        <w:t xml:space="preserve">Олександр </w:t>
      </w:r>
      <w:proofErr w:type="spellStart"/>
      <w:r w:rsidRPr="000440C8">
        <w:rPr>
          <w:rFonts w:ascii="Times New Roman" w:eastAsia="Times New Roman" w:hAnsi="Times New Roman" w:cs="Times New Roman"/>
          <w:b/>
          <w:bCs/>
          <w:color w:val="313131"/>
          <w:sz w:val="28"/>
          <w:szCs w:val="28"/>
          <w:lang w:eastAsia="uk-UA"/>
        </w:rPr>
        <w:t>Рєвнівцев</w:t>
      </w:r>
      <w:proofErr w:type="spellEnd"/>
    </w:p>
    <w:p w:rsidR="00D66280" w:rsidRDefault="000440C8" w:rsidP="000440C8">
      <w:pPr>
        <w:shd w:val="clear" w:color="auto" w:fill="FBFBFB"/>
        <w:spacing w:after="0" w:line="384" w:lineRule="atLeast"/>
        <w:jc w:val="both"/>
        <w:rPr>
          <w:rFonts w:ascii="Times New Roman" w:eastAsia="Times New Roman" w:hAnsi="Times New Roman" w:cs="Times New Roman"/>
          <w:color w:val="18191F"/>
          <w:sz w:val="28"/>
          <w:szCs w:val="28"/>
          <w:lang w:eastAsia="uk-UA"/>
        </w:rPr>
      </w:pPr>
      <w:r w:rsidRPr="000440C8">
        <w:rPr>
          <w:rFonts w:ascii="Times New Roman" w:eastAsia="Times New Roman" w:hAnsi="Times New Roman" w:cs="Times New Roman"/>
          <w:color w:val="18191F"/>
          <w:sz w:val="28"/>
          <w:szCs w:val="28"/>
          <w:lang w:eastAsia="uk-UA"/>
        </w:rPr>
        <w:t xml:space="preserve">Міжнародний консультант ФАО </w:t>
      </w:r>
    </w:p>
    <w:p w:rsidR="00DA5A61" w:rsidRDefault="000440C8" w:rsidP="000440C8">
      <w:pPr>
        <w:shd w:val="clear" w:color="auto" w:fill="FBFBFB"/>
        <w:spacing w:after="0" w:line="384" w:lineRule="atLeast"/>
        <w:jc w:val="both"/>
      </w:pPr>
      <w:r w:rsidRPr="000440C8">
        <w:rPr>
          <w:rFonts w:ascii="Times New Roman" w:eastAsia="Times New Roman" w:hAnsi="Times New Roman" w:cs="Times New Roman"/>
          <w:color w:val="18191F"/>
          <w:sz w:val="28"/>
          <w:szCs w:val="28"/>
          <w:lang w:eastAsia="uk-UA"/>
        </w:rPr>
        <w:t>з питань тваринництва</w:t>
      </w:r>
    </w:p>
    <w:sectPr w:rsidR="00DA5A61" w:rsidSect="00EF08D5">
      <w:pgSz w:w="11906" w:h="16838"/>
      <w:pgMar w:top="709"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C8"/>
    <w:rsid w:val="000440C8"/>
    <w:rsid w:val="006023AF"/>
    <w:rsid w:val="00640B70"/>
    <w:rsid w:val="00D66280"/>
    <w:rsid w:val="00DA5A61"/>
    <w:rsid w:val="00EF0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0E2FF-69F0-43D5-8B3A-ABFF7B39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B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0B70"/>
    <w:rPr>
      <w:rFonts w:ascii="Segoe UI" w:hAnsi="Segoe UI" w:cs="Segoe UI"/>
      <w:sz w:val="18"/>
      <w:szCs w:val="18"/>
    </w:rPr>
  </w:style>
  <w:style w:type="character" w:styleId="a5">
    <w:name w:val="Hyperlink"/>
    <w:uiPriority w:val="99"/>
    <w:unhideWhenUsed/>
    <w:rsid w:val="006023AF"/>
    <w:rPr>
      <w:color w:val="0000FF"/>
      <w:u w:val="single"/>
    </w:rPr>
  </w:style>
  <w:style w:type="character" w:styleId="a6">
    <w:name w:val="FollowedHyperlink"/>
    <w:basedOn w:val="a0"/>
    <w:uiPriority w:val="99"/>
    <w:semiHidden/>
    <w:unhideWhenUsed/>
    <w:rsid w:val="00602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811">
      <w:bodyDiv w:val="1"/>
      <w:marLeft w:val="0"/>
      <w:marRight w:val="0"/>
      <w:marTop w:val="0"/>
      <w:marBottom w:val="0"/>
      <w:divBdr>
        <w:top w:val="none" w:sz="0" w:space="0" w:color="auto"/>
        <w:left w:val="none" w:sz="0" w:space="0" w:color="auto"/>
        <w:bottom w:val="none" w:sz="0" w:space="0" w:color="auto"/>
        <w:right w:val="none" w:sz="0" w:space="0" w:color="auto"/>
      </w:divBdr>
      <w:divsChild>
        <w:div w:id="292441074">
          <w:marLeft w:val="0"/>
          <w:marRight w:val="0"/>
          <w:marTop w:val="0"/>
          <w:marBottom w:val="0"/>
          <w:divBdr>
            <w:top w:val="none" w:sz="0" w:space="0" w:color="auto"/>
            <w:left w:val="none" w:sz="0" w:space="0" w:color="auto"/>
            <w:bottom w:val="none" w:sz="0" w:space="0" w:color="auto"/>
            <w:right w:val="none" w:sz="0" w:space="0" w:color="auto"/>
          </w:divBdr>
          <w:divsChild>
            <w:div w:id="1899315769">
              <w:marLeft w:val="0"/>
              <w:marRight w:val="0"/>
              <w:marTop w:val="0"/>
              <w:marBottom w:val="0"/>
              <w:divBdr>
                <w:top w:val="none" w:sz="0" w:space="0" w:color="auto"/>
                <w:left w:val="none" w:sz="0" w:space="0" w:color="auto"/>
                <w:bottom w:val="none" w:sz="0" w:space="0" w:color="auto"/>
                <w:right w:val="none" w:sz="0" w:space="0" w:color="auto"/>
              </w:divBdr>
              <w:divsChild>
                <w:div w:id="1510410728">
                  <w:marLeft w:val="0"/>
                  <w:marRight w:val="0"/>
                  <w:marTop w:val="0"/>
                  <w:marBottom w:val="300"/>
                  <w:divBdr>
                    <w:top w:val="none" w:sz="0" w:space="0" w:color="auto"/>
                    <w:left w:val="none" w:sz="0" w:space="0" w:color="auto"/>
                    <w:bottom w:val="none" w:sz="0" w:space="0" w:color="auto"/>
                    <w:right w:val="none" w:sz="0" w:space="0" w:color="auto"/>
                  </w:divBdr>
                </w:div>
                <w:div w:id="33964494">
                  <w:marLeft w:val="0"/>
                  <w:marRight w:val="285"/>
                  <w:marTop w:val="0"/>
                  <w:marBottom w:val="0"/>
                  <w:divBdr>
                    <w:top w:val="none" w:sz="0" w:space="0" w:color="auto"/>
                    <w:left w:val="none" w:sz="0" w:space="0" w:color="auto"/>
                    <w:bottom w:val="none" w:sz="0" w:space="0" w:color="auto"/>
                    <w:right w:val="none" w:sz="0" w:space="0" w:color="auto"/>
                  </w:divBdr>
                </w:div>
                <w:div w:id="6043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7800">
          <w:marLeft w:val="0"/>
          <w:marRight w:val="0"/>
          <w:marTop w:val="0"/>
          <w:marBottom w:val="0"/>
          <w:divBdr>
            <w:top w:val="none" w:sz="0" w:space="0" w:color="auto"/>
            <w:left w:val="none" w:sz="0" w:space="0" w:color="auto"/>
            <w:bottom w:val="none" w:sz="0" w:space="0" w:color="auto"/>
            <w:right w:val="none" w:sz="0" w:space="0" w:color="auto"/>
          </w:divBdr>
          <w:divsChild>
            <w:div w:id="1171678396">
              <w:marLeft w:val="0"/>
              <w:marRight w:val="439"/>
              <w:marTop w:val="0"/>
              <w:marBottom w:val="0"/>
              <w:divBdr>
                <w:top w:val="none" w:sz="0" w:space="0" w:color="auto"/>
                <w:left w:val="none" w:sz="0" w:space="0" w:color="auto"/>
                <w:bottom w:val="none" w:sz="0" w:space="0" w:color="auto"/>
                <w:right w:val="none" w:sz="0" w:space="0" w:color="auto"/>
              </w:divBdr>
              <w:divsChild>
                <w:div w:id="7805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ourses.agriacademy.org/courses/course-v1:FAO+BiosecurityHG+2025Q4/about?fbclid=IwdGRzaAPpMA5jbGNrA-kvr2V4dG4DYWVtAjExAHNydGMGYXBwX2lkDDM1MDY4NTUzMTcyOAABHroT389ZEOiNLkS8rV3P8U7CZW67iVuRCDDmMR0I4i5dHh5DHmnGlIwseilf_aem_762AcrYP0yu8Vdytjzdv1Q&amp;sfnsn=wa#video-modal" TargetMode="External"/><Relationship Id="rId4" Type="http://schemas.openxmlformats.org/officeDocument/2006/relationships/hyperlink" Target="http://bit.ly/3M3Dh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2424</Words>
  <Characters>1383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Мисливці</dc:creator>
  <cp:keywords/>
  <dc:description/>
  <cp:lastModifiedBy>Мисливці</cp:lastModifiedBy>
  <cp:revision>6</cp:revision>
  <cp:lastPrinted>2026-02-03T10:59:00Z</cp:lastPrinted>
  <dcterms:created xsi:type="dcterms:W3CDTF">2026-02-03T10:56:00Z</dcterms:created>
  <dcterms:modified xsi:type="dcterms:W3CDTF">2026-02-03T11:14:00Z</dcterms:modified>
</cp:coreProperties>
</file>